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Контрольно-счетная комиссия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Богородского муниципального округа Нижегородской области</w:t>
      </w:r>
    </w:p>
    <w:p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Заключение</w:t>
      </w:r>
    </w:p>
    <w:p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проект решения Совета депутатов Богородского муниципального округа Нижегородской области «О внесении изменений в решение Совета депутатов Богородского муниципального округа Нижегородской области от 12.12.2024 № 117 «О бюджете Богородского муниципального округа Нижегородской области на 2025 год и на плановый период 2026 и 2027 годов»»</w:t>
      </w:r>
    </w:p>
    <w:p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Контрольно-счетной комиссией Богородского муниципального округа в соответствии с Бюджетным кодексом РФ, Федеральным законом </w:t>
      </w:r>
      <w:r>
        <w:rPr>
          <w:rFonts w:ascii="Times New Roman" w:hAnsi="Times New Roman"/>
          <w:color w:val="000000"/>
          <w:sz w:val="26"/>
          <w:szCs w:val="26"/>
        </w:rPr>
        <w:t xml:space="preserve"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ascii="Times New Roman" w:hAnsi="Times New Roman"/>
          <w:sz w:val="26"/>
          <w:szCs w:val="26"/>
        </w:rPr>
        <w:t>решением Совета депутатов Богородского муниципального округа Нижегородской области</w:t>
      </w:r>
      <w:r>
        <w:rPr>
          <w:rFonts w:ascii="Times New Roman" w:hAnsi="Times New Roman"/>
          <w:color w:val="000000"/>
          <w:sz w:val="26"/>
          <w:szCs w:val="26"/>
        </w:rPr>
        <w:t xml:space="preserve"> от 09.10.2020 № 26 «</w:t>
      </w:r>
      <w:r>
        <w:rPr>
          <w:rFonts w:ascii="Times New Roman" w:hAnsi="Times New Roman"/>
          <w:bCs/>
          <w:sz w:val="26"/>
          <w:szCs w:val="26"/>
        </w:rPr>
        <w:t>Об утверждении Положения о бюджетном процессе в Богородском муниципальном округе Нижегородской области»,</w:t>
      </w:r>
      <w:r>
        <w:rPr>
          <w:rFonts w:ascii="Times New Roman" w:hAnsi="Times New Roman"/>
          <w:sz w:val="26"/>
          <w:szCs w:val="26"/>
        </w:rPr>
        <w:t xml:space="preserve"> Положением о контрольно-счетной комиссии Богородского муниципального округа Нижегородской области, утвержденным решением Совета депутатов Богородского муниципального округа Нижегородской области от 16.12.2021 № 203 проведена экспертиза проекта решения Совета депутатов Богородского муниципального округа Нижегородской области «О внесении изменений в решение Совета депутатов Богородского муниципального округа Нижегородской области от 12.12.2024 № 117 «</w:t>
      </w:r>
      <w:r>
        <w:rPr>
          <w:rFonts w:ascii="Times New Roman" w:hAnsi="Times New Roman"/>
          <w:color w:val="000000"/>
          <w:sz w:val="26"/>
          <w:szCs w:val="26"/>
        </w:rPr>
        <w:t>О бюджете Богородского муниципального округа Нижегородской области на 2025 год и на плановый период 2026 и 2027 годов</w:t>
      </w:r>
      <w:r>
        <w:rPr>
          <w:rFonts w:ascii="Times New Roman" w:hAnsi="Times New Roman"/>
          <w:sz w:val="26"/>
          <w:szCs w:val="26"/>
        </w:rPr>
        <w:t>»» (далее – проект решения).</w:t>
      </w:r>
    </w:p>
    <w:p>
      <w:pPr>
        <w:pStyle w:val="188"/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Изменения основных характеристик бюджета Богородского муниципального округа Нижегородской области на 2025 год и на плановый период 2026 и 2027 годов</w:t>
      </w:r>
    </w:p>
    <w:p>
      <w:pPr>
        <w:pStyle w:val="188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Согласно материалам к проекту решения в основные характеристики местного бюджета на 2025 год и плановый период 2026 и 2027 годов, утвержденные решением Совета депутатов Богородского муниципального округа Нижегородской области от 12.12.2024 № 117 «</w:t>
      </w:r>
      <w:r>
        <w:rPr>
          <w:rFonts w:ascii="Times New Roman" w:hAnsi="Times New Roman"/>
          <w:color w:val="000000"/>
          <w:sz w:val="26"/>
          <w:szCs w:val="26"/>
        </w:rPr>
        <w:t>О бюджете Богородского муниципального округа Нижегородской области на 2025 год и на плановый период 2026 и 2027 годов</w:t>
      </w:r>
      <w:r>
        <w:rPr>
          <w:rFonts w:ascii="Times New Roman" w:hAnsi="Times New Roman"/>
          <w:sz w:val="26"/>
          <w:szCs w:val="26"/>
        </w:rPr>
        <w:t xml:space="preserve">» (далее – решение от 12.12.2024 № 117), предлагается внести следующие изменения: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тыс. рублей</w:t>
      </w:r>
    </w:p>
    <w:tbl>
      <w:tblPr>
        <w:tblStyle w:val="22"/>
        <w:tblpPr w:leftFromText="180" w:rightFromText="180" w:vertAnchor="text" w:horzAnchor="page" w:tblpX="1462" w:tblpY="343"/>
        <w:tblW w:w="98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2725"/>
        <w:gridCol w:w="1560"/>
        <w:gridCol w:w="1599"/>
        <w:gridCol w:w="1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Решение от 12.12.2024 № 117 (в редакции решения от </w:t>
            </w:r>
            <w:r>
              <w:rPr>
                <w:rFonts w:hint="default" w:ascii="Times New Roman" w:hAnsi="Times New Roman"/>
                <w:bCs/>
                <w:sz w:val="20"/>
                <w:szCs w:val="20"/>
                <w:lang w:val="ru-RU"/>
              </w:rPr>
              <w:t>30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hint="default" w:ascii="Times New Roman" w:hAnsi="Times New Roman"/>
                <w:bCs/>
                <w:sz w:val="20"/>
                <w:szCs w:val="20"/>
                <w:lang w:val="ru-RU"/>
              </w:rPr>
              <w:t>131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Изменения к утвержденному решению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% изменения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3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190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Всего доходов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4322349,67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4320620,34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-1 729,33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190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Всего расходов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4656803,84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4654537,05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-2 266,79 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190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Дефицит (-), профицит (+)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-334454,17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-333916,71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537,46 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99,8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8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191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2026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190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Всего доходов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3574104,46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3574104,46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190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Всего расходов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3574104,46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3574104,46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190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Дефицит (+), профицит (-)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191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2027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190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Всего доходов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3441948,57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3441948,57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190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Всего расходов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3441948,57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3441948,57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190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Дефицит (-), профицит (+)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>
      <w:pPr>
        <w:pStyle w:val="188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 изменения доходов бюджета Богородского муниципального округа Нижегородской области</w:t>
      </w:r>
    </w:p>
    <w:p>
      <w:pPr>
        <w:pStyle w:val="188"/>
        <w:shd w:val="clear" w:color="auto" w:fill="FFFFFF"/>
        <w:wordWrap w:val="0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тыс. рублей</w:t>
      </w:r>
    </w:p>
    <w:tbl>
      <w:tblPr>
        <w:tblStyle w:val="3"/>
        <w:tblpPr w:leftFromText="180" w:rightFromText="180" w:vertAnchor="text" w:horzAnchor="page" w:tblpX="1498" w:tblpY="24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373"/>
        <w:gridCol w:w="1552"/>
        <w:gridCol w:w="1604"/>
        <w:gridCol w:w="1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085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73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Решение от 12.12.2024 № 117  (в редакции решения от </w:t>
            </w:r>
            <w:r>
              <w:rPr>
                <w:rFonts w:hint="default" w:ascii="Times New Roman" w:hAnsi="Times New Roman"/>
                <w:bCs/>
                <w:sz w:val="20"/>
                <w:szCs w:val="20"/>
                <w:lang w:val="ru-RU"/>
              </w:rPr>
              <w:t>30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hint="default" w:ascii="Times New Roman" w:hAnsi="Times New Roman"/>
                <w:bCs/>
                <w:sz w:val="20"/>
                <w:szCs w:val="20"/>
                <w:lang w:val="ru-RU"/>
              </w:rPr>
              <w:t>131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52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604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Изменения к утверждённому решению</w:t>
            </w:r>
          </w:p>
        </w:tc>
        <w:tc>
          <w:tcPr>
            <w:tcW w:w="1136" w:type="dxa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% изменения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5" w:type="dxa"/>
            <w:noWrap/>
          </w:tcPr>
          <w:p>
            <w:pPr>
              <w:pStyle w:val="187"/>
              <w:numPr>
                <w:ilvl w:val="0"/>
                <w:numId w:val="2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Налоговые и неналоговые доходы</w:t>
            </w:r>
          </w:p>
        </w:tc>
        <w:tc>
          <w:tcPr>
            <w:tcW w:w="2373" w:type="dx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1182 706,10 </w:t>
            </w:r>
          </w:p>
        </w:tc>
        <w:tc>
          <w:tcPr>
            <w:tcW w:w="1552" w:type="dx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1182 706,10 </w:t>
            </w:r>
          </w:p>
        </w:tc>
        <w:tc>
          <w:tcPr>
            <w:tcW w:w="1604" w:type="dx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  <w:tc>
          <w:tcPr>
            <w:tcW w:w="1136" w:type="dx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085" w:type="dxa"/>
            <w:noWrap/>
          </w:tcPr>
          <w:p>
            <w:pPr>
              <w:pStyle w:val="18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 w:val="20"/>
                <w:szCs w:val="20"/>
              </w:rPr>
              <w:t>2. Безвозмездные поступления</w:t>
            </w:r>
          </w:p>
        </w:tc>
        <w:tc>
          <w:tcPr>
            <w:tcW w:w="2373" w:type="dx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3139 643,57 </w:t>
            </w:r>
          </w:p>
        </w:tc>
        <w:tc>
          <w:tcPr>
            <w:tcW w:w="1552" w:type="dx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3137 914,24 </w:t>
            </w:r>
          </w:p>
        </w:tc>
        <w:tc>
          <w:tcPr>
            <w:tcW w:w="1604" w:type="dx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-1 729,33 </w:t>
            </w:r>
          </w:p>
        </w:tc>
        <w:tc>
          <w:tcPr>
            <w:tcW w:w="1136" w:type="dx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- 0,1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5" w:type="dxa"/>
            <w:noWrap/>
          </w:tcPr>
          <w:p>
            <w:pPr>
              <w:pStyle w:val="18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 w:val="20"/>
                <w:szCs w:val="20"/>
              </w:rPr>
              <w:t>Всего доходов</w:t>
            </w:r>
          </w:p>
        </w:tc>
        <w:tc>
          <w:tcPr>
            <w:tcW w:w="2373" w:type="dx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4322 349,67 </w:t>
            </w:r>
          </w:p>
        </w:tc>
        <w:tc>
          <w:tcPr>
            <w:tcW w:w="1552" w:type="dx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4320 620,34 </w:t>
            </w:r>
          </w:p>
        </w:tc>
        <w:tc>
          <w:tcPr>
            <w:tcW w:w="1604" w:type="dx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-1 729,33 </w:t>
            </w:r>
          </w:p>
        </w:tc>
        <w:tc>
          <w:tcPr>
            <w:tcW w:w="1136" w:type="dx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- 0,1 </w:t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>
      <w:pPr>
        <w:shd w:val="clear" w:color="auto" w:fill="FFFFFF"/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пояснительной записке к проекту решения изменение доходов осуществляется за счет </w:t>
      </w:r>
      <w:r>
        <w:rPr>
          <w:rFonts w:ascii="Times New Roman" w:hAnsi="Times New Roman"/>
          <w:sz w:val="26"/>
          <w:szCs w:val="26"/>
          <w:lang w:val="ru-RU"/>
        </w:rPr>
        <w:t>налоговых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/>
          <w:sz w:val="26"/>
          <w:szCs w:val="26"/>
        </w:rPr>
        <w:t>неналоговых доходов и безвозмездных поступлений из вышестоящих бюджетов.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В 2025 году доходная часть бюджета увеличивается на </w:t>
      </w:r>
      <w:r>
        <w:rPr>
          <w:rFonts w:hint="default" w:ascii="Times New Roman" w:hAnsi="Times New Roman"/>
          <w:sz w:val="26"/>
          <w:szCs w:val="26"/>
          <w:lang w:val="ru-RU"/>
        </w:rPr>
        <w:t>3 975,38</w:t>
      </w:r>
      <w:r>
        <w:rPr>
          <w:rFonts w:ascii="Times New Roman" w:hAnsi="Times New Roman"/>
          <w:sz w:val="26"/>
          <w:szCs w:val="26"/>
        </w:rPr>
        <w:t xml:space="preserve"> тыс. рублей за счет увеличения следующих доходов: 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Единого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налога на вмененный доход для отдельных видов деятельности в сумме 58,00 тыс.рублей.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Плата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по соглашениям об установлении сервитута в отношении земельных участков, находящихся в государственной или муниципальной собственности в сумме 12,00 тыс.рублей.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lang w:val="ru-RU"/>
        </w:rPr>
        <w:t>Доходы от компенсации затрат государства в сумме 4,15 тыс.рублей.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eastAsia="ru-RU"/>
        </w:rPr>
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</w:r>
      <w:r>
        <w:rPr>
          <w:rFonts w:hint="default" w:ascii="Times New Roman" w:hAnsi="Times New Roman" w:cs="Times New Roman"/>
          <w:sz w:val="26"/>
          <w:szCs w:val="26"/>
        </w:rPr>
        <w:t xml:space="preserve"> в сумме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867</w:t>
      </w:r>
      <w:r>
        <w:rPr>
          <w:rFonts w:hint="default" w:ascii="Times New Roman" w:hAnsi="Times New Roman" w:cs="Times New Roman"/>
          <w:sz w:val="26"/>
          <w:szCs w:val="26"/>
        </w:rPr>
        <w:t>,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0</w:t>
      </w:r>
      <w:r>
        <w:rPr>
          <w:rFonts w:hint="default" w:ascii="Times New Roman" w:hAnsi="Times New Roman" w:cs="Times New Roman"/>
          <w:sz w:val="26"/>
          <w:szCs w:val="26"/>
        </w:rPr>
        <w:t>0 тыс. рублей.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Субвенций бюджетам муниципальных округов на выполнение передаваемых полномочий в сумме </w:t>
      </w:r>
      <w:r>
        <w:rPr>
          <w:rFonts w:hint="default" w:ascii="Times New Roman" w:hAnsi="Times New Roman"/>
          <w:sz w:val="26"/>
          <w:szCs w:val="26"/>
          <w:lang w:val="ru-RU"/>
        </w:rPr>
        <w:t>420,00</w:t>
      </w:r>
      <w:r>
        <w:rPr>
          <w:rFonts w:ascii="Times New Roman" w:hAnsi="Times New Roman"/>
          <w:sz w:val="26"/>
          <w:szCs w:val="26"/>
        </w:rPr>
        <w:t xml:space="preserve"> тыс. рублей.</w:t>
      </w:r>
    </w:p>
    <w:p>
      <w:pPr>
        <w:pStyle w:val="188"/>
        <w:numPr>
          <w:ilvl w:val="0"/>
          <w:numId w:val="3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Прочих межбюджетных трансфертов, передаваемые бюджетам муниципальных округов в сумме </w:t>
      </w:r>
      <w:r>
        <w:rPr>
          <w:rFonts w:hint="default" w:ascii="Times New Roman" w:hAnsi="Times New Roman"/>
          <w:sz w:val="26"/>
          <w:szCs w:val="26"/>
          <w:lang w:val="ru-RU"/>
        </w:rPr>
        <w:t>2 614,23</w:t>
      </w:r>
      <w:r>
        <w:rPr>
          <w:rFonts w:ascii="Times New Roman" w:hAnsi="Times New Roman"/>
          <w:sz w:val="26"/>
          <w:szCs w:val="26"/>
        </w:rPr>
        <w:t xml:space="preserve"> тыс. рублей.</w:t>
      </w:r>
    </w:p>
    <w:p>
      <w:pPr>
        <w:pStyle w:val="188"/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</w:p>
    <w:p>
      <w:pPr>
        <w:pStyle w:val="188"/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Уменьшение доходной части осуществляется в сумме </w:t>
      </w:r>
      <w:r>
        <w:rPr>
          <w:rFonts w:hint="default" w:ascii="Times New Roman" w:hAnsi="Times New Roman"/>
          <w:sz w:val="26"/>
          <w:szCs w:val="26"/>
          <w:lang w:val="ru-RU"/>
        </w:rPr>
        <w:t>5 704,71</w:t>
      </w:r>
      <w:r>
        <w:rPr>
          <w:rFonts w:ascii="Times New Roman" w:hAnsi="Times New Roman"/>
          <w:sz w:val="26"/>
          <w:szCs w:val="26"/>
        </w:rPr>
        <w:t xml:space="preserve"> тыс. рублей за счет сокращения следующих доходов: </w:t>
      </w:r>
    </w:p>
    <w:p>
      <w:pPr>
        <w:pStyle w:val="188"/>
        <w:numPr>
          <w:ilvl w:val="0"/>
          <w:numId w:val="4"/>
        </w:numPr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Налог</w:t>
      </w:r>
      <w:r>
        <w:rPr>
          <w:rFonts w:hint="default" w:ascii="Times New Roman" w:hAnsi="Times New Roman"/>
          <w:sz w:val="26"/>
          <w:szCs w:val="26"/>
          <w:lang w:val="ru-RU"/>
        </w:rPr>
        <w:t>, взимаемый в связи с применением упрощенной системы налогообложения в сумме 58,00 тыс.рублей.</w:t>
      </w:r>
    </w:p>
    <w:p>
      <w:pPr>
        <w:pStyle w:val="188"/>
        <w:numPr>
          <w:ilvl w:val="0"/>
          <w:numId w:val="4"/>
        </w:numPr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lang w:val="ru-RU"/>
        </w:rPr>
        <w:t>Административные штрафы, установленные Кодексом Российской Федерации об административных правонарушениях в сумме 829,57 тыс.рублей.</w:t>
      </w:r>
    </w:p>
    <w:p>
      <w:pPr>
        <w:pStyle w:val="188"/>
        <w:numPr>
          <w:ilvl w:val="0"/>
          <w:numId w:val="4"/>
        </w:numPr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Инициативных платежей в сумме </w:t>
      </w:r>
      <w:r>
        <w:rPr>
          <w:rFonts w:hint="default" w:ascii="Times New Roman" w:hAnsi="Times New Roman"/>
          <w:sz w:val="26"/>
          <w:szCs w:val="26"/>
          <w:lang w:val="ru-RU"/>
        </w:rPr>
        <w:t>53,58</w:t>
      </w:r>
      <w:r>
        <w:rPr>
          <w:rFonts w:ascii="Times New Roman" w:hAnsi="Times New Roman"/>
          <w:sz w:val="26"/>
          <w:szCs w:val="26"/>
        </w:rPr>
        <w:t xml:space="preserve"> тыс. рублей.</w:t>
      </w:r>
    </w:p>
    <w:p>
      <w:pPr>
        <w:pStyle w:val="188"/>
        <w:numPr>
          <w:ilvl w:val="0"/>
          <w:numId w:val="4"/>
        </w:numPr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</w:t>
      </w:r>
      <w:r>
        <w:rPr>
          <w:rFonts w:ascii="Times New Roman" w:hAnsi="Times New Roman"/>
          <w:sz w:val="26"/>
          <w:szCs w:val="26"/>
          <w:lang w:val="ru-RU"/>
        </w:rPr>
        <w:t>сидии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в су</w:t>
      </w:r>
      <w:r>
        <w:rPr>
          <w:rFonts w:ascii="Times New Roman" w:hAnsi="Times New Roman"/>
          <w:sz w:val="26"/>
          <w:szCs w:val="26"/>
        </w:rPr>
        <w:t xml:space="preserve">мме </w:t>
      </w:r>
      <w:r>
        <w:rPr>
          <w:rFonts w:hint="default" w:ascii="Times New Roman" w:hAnsi="Times New Roman"/>
          <w:sz w:val="26"/>
          <w:szCs w:val="26"/>
          <w:lang w:val="ru-RU"/>
        </w:rPr>
        <w:t>3 143,51</w:t>
      </w:r>
      <w:r>
        <w:rPr>
          <w:rFonts w:ascii="Times New Roman" w:hAnsi="Times New Roman"/>
          <w:sz w:val="26"/>
          <w:szCs w:val="26"/>
        </w:rPr>
        <w:t xml:space="preserve"> тыс. рублей.</w:t>
      </w:r>
    </w:p>
    <w:p>
      <w:pPr>
        <w:pStyle w:val="188"/>
        <w:numPr>
          <w:ilvl w:val="0"/>
          <w:numId w:val="4"/>
        </w:numPr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Прочие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субсидии бюджетам муниципальных округов в сумме 1 070,05 тс.рублей.</w:t>
      </w:r>
    </w:p>
    <w:p>
      <w:pPr>
        <w:pStyle w:val="188"/>
        <w:numPr>
          <w:ilvl w:val="0"/>
          <w:numId w:val="4"/>
        </w:numPr>
        <w:shd w:val="clear" w:color="auto" w:fill="FFFFFF"/>
        <w:spacing w:after="0" w:line="240" w:lineRule="auto"/>
        <w:ind w:left="0"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С</w:t>
      </w:r>
      <w:r>
        <w:rPr>
          <w:rFonts w:ascii="Times New Roman" w:hAnsi="Times New Roman"/>
          <w:sz w:val="26"/>
          <w:szCs w:val="26"/>
        </w:rPr>
        <w:t>убвенци</w:t>
      </w:r>
      <w:r>
        <w:rPr>
          <w:rFonts w:ascii="Times New Roman" w:hAnsi="Times New Roman"/>
          <w:sz w:val="26"/>
          <w:szCs w:val="26"/>
          <w:lang w:val="ru-RU"/>
        </w:rPr>
        <w:t>и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бюджетам муниципальных округов в сумме 550,00 </w:t>
      </w:r>
      <w:r>
        <w:rPr>
          <w:rFonts w:ascii="Times New Roman" w:hAnsi="Times New Roman"/>
          <w:sz w:val="26"/>
          <w:szCs w:val="26"/>
        </w:rPr>
        <w:t>тыс. рублей.</w:t>
      </w:r>
    </w:p>
    <w:p>
      <w:pPr>
        <w:pStyle w:val="188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>
      <w:pPr>
        <w:pStyle w:val="188"/>
        <w:shd w:val="clear" w:color="auto" w:fill="FFFFFF"/>
        <w:spacing w:after="0" w:line="240" w:lineRule="auto"/>
        <w:ind w:left="557" w:leftChars="253"/>
        <w:jc w:val="both"/>
        <w:rPr>
          <w:rFonts w:ascii="Times New Roman" w:hAnsi="Times New Roman"/>
          <w:sz w:val="26"/>
          <w:szCs w:val="26"/>
        </w:rPr>
      </w:pPr>
    </w:p>
    <w:p>
      <w:pPr>
        <w:pStyle w:val="188"/>
        <w:numPr>
          <w:ilvl w:val="0"/>
          <w:numId w:val="1"/>
        </w:numPr>
        <w:shd w:val="clear" w:color="auto" w:fill="FFFFFF"/>
        <w:spacing w:before="24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Основные изменения бюджетных ассигнований на осуществление расходов бюджета Богородского муниципального округа </w:t>
      </w:r>
    </w:p>
    <w:p>
      <w:pPr>
        <w:pStyle w:val="188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Нижегородской области</w:t>
      </w:r>
    </w:p>
    <w:p>
      <w:pPr>
        <w:pStyle w:val="188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hd w:val="clear" w:color="auto" w:fill="FFFFFF"/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В соответствии с рассматриваемым проектом решения предлагается изменить расходную часть бюджета на </w:t>
      </w:r>
      <w:r>
        <w:rPr>
          <w:rFonts w:hint="default" w:ascii="Times New Roman" w:hAnsi="Times New Roman"/>
          <w:sz w:val="26"/>
          <w:szCs w:val="26"/>
          <w:lang w:val="ru-RU"/>
        </w:rPr>
        <w:t>2 266,79</w:t>
      </w:r>
      <w:r>
        <w:rPr>
          <w:rFonts w:ascii="Times New Roman" w:hAnsi="Times New Roman"/>
          <w:sz w:val="26"/>
          <w:szCs w:val="26"/>
        </w:rPr>
        <w:t xml:space="preserve"> тыс. рублей, увеличив на сумму </w:t>
      </w:r>
      <w:r>
        <w:rPr>
          <w:rFonts w:hint="default" w:ascii="Times New Roman" w:hAnsi="Times New Roman"/>
          <w:sz w:val="26"/>
          <w:szCs w:val="26"/>
          <w:lang w:val="ru-RU"/>
        </w:rPr>
        <w:t>10 068,25</w:t>
      </w:r>
      <w:r>
        <w:rPr>
          <w:rFonts w:ascii="Times New Roman" w:hAnsi="Times New Roman"/>
          <w:sz w:val="26"/>
          <w:szCs w:val="26"/>
        </w:rPr>
        <w:t xml:space="preserve"> тыс. рублей, сократив на сумму </w:t>
      </w:r>
      <w:r>
        <w:rPr>
          <w:rFonts w:hint="default" w:ascii="Times New Roman" w:hAnsi="Times New Roman"/>
          <w:sz w:val="26"/>
          <w:szCs w:val="26"/>
          <w:lang w:val="ru-RU"/>
        </w:rPr>
        <w:t>12 335,05</w:t>
      </w:r>
      <w:r>
        <w:rPr>
          <w:rFonts w:ascii="Times New Roman" w:hAnsi="Times New Roman"/>
          <w:sz w:val="26"/>
          <w:szCs w:val="26"/>
        </w:rPr>
        <w:t xml:space="preserve"> тыс. рублей.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Информация об изменениях бюджетных ассигнований по разделам классификации расходов местного бюджета на 2025 год представлена в таблице.</w:t>
      </w:r>
    </w:p>
    <w:p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тыс. рублей</w:t>
      </w:r>
    </w:p>
    <w:tbl>
      <w:tblPr>
        <w:tblStyle w:val="3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2267"/>
        <w:gridCol w:w="1456"/>
        <w:gridCol w:w="1757"/>
        <w:gridCol w:w="1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989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>Наименование раздела классификации расходов бюджета</w:t>
            </w:r>
          </w:p>
        </w:tc>
        <w:tc>
          <w:tcPr>
            <w:tcW w:w="2267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Решение от 12.12.2024 № 117  (в редакции решения от </w:t>
            </w:r>
            <w:r>
              <w:rPr>
                <w:rFonts w:hint="default" w:ascii="Times New Roman" w:hAnsi="Times New Roman"/>
                <w:bCs/>
                <w:sz w:val="20"/>
                <w:szCs w:val="20"/>
                <w:lang w:val="ru-RU"/>
              </w:rPr>
              <w:t>30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hint="default" w:ascii="Times New Roman" w:hAnsi="Times New Roman"/>
                <w:bCs/>
                <w:sz w:val="20"/>
                <w:szCs w:val="20"/>
                <w:lang w:val="ru-RU"/>
              </w:rPr>
              <w:t>131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56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1757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 xml:space="preserve">Изменения к утвержденному решению </w:t>
            </w:r>
          </w:p>
        </w:tc>
        <w:tc>
          <w:tcPr>
            <w:tcW w:w="1303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>% изменения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Общегосударственные вопросы</w:t>
            </w:r>
          </w:p>
        </w:tc>
        <w:tc>
          <w:tcPr>
            <w:tcW w:w="226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317 424,08 </w:t>
            </w:r>
          </w:p>
        </w:tc>
        <w:tc>
          <w:tcPr>
            <w:tcW w:w="145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313 762,36 </w:t>
            </w:r>
          </w:p>
        </w:tc>
        <w:tc>
          <w:tcPr>
            <w:tcW w:w="17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-3 661,72 </w:t>
            </w:r>
          </w:p>
        </w:tc>
        <w:tc>
          <w:tcPr>
            <w:tcW w:w="1303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- 1,2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Национальная оборона</w:t>
            </w:r>
          </w:p>
        </w:tc>
        <w:tc>
          <w:tcPr>
            <w:tcW w:w="226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2 111,80 </w:t>
            </w:r>
          </w:p>
        </w:tc>
        <w:tc>
          <w:tcPr>
            <w:tcW w:w="145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2 111,80 </w:t>
            </w:r>
          </w:p>
        </w:tc>
        <w:tc>
          <w:tcPr>
            <w:tcW w:w="17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  <w:tc>
          <w:tcPr>
            <w:tcW w:w="1303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65 871,70 </w:t>
            </w:r>
          </w:p>
        </w:tc>
        <w:tc>
          <w:tcPr>
            <w:tcW w:w="145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66 910,39 </w:t>
            </w:r>
          </w:p>
        </w:tc>
        <w:tc>
          <w:tcPr>
            <w:tcW w:w="17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1 038,69 </w:t>
            </w:r>
          </w:p>
        </w:tc>
        <w:tc>
          <w:tcPr>
            <w:tcW w:w="1303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Национальная экономика</w:t>
            </w:r>
          </w:p>
        </w:tc>
        <w:tc>
          <w:tcPr>
            <w:tcW w:w="226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490 997,47 </w:t>
            </w:r>
          </w:p>
        </w:tc>
        <w:tc>
          <w:tcPr>
            <w:tcW w:w="145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492 254,11 </w:t>
            </w:r>
          </w:p>
        </w:tc>
        <w:tc>
          <w:tcPr>
            <w:tcW w:w="17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1 256,64 </w:t>
            </w:r>
          </w:p>
        </w:tc>
        <w:tc>
          <w:tcPr>
            <w:tcW w:w="1303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Жилищно-коммунальное хозяйство</w:t>
            </w:r>
          </w:p>
        </w:tc>
        <w:tc>
          <w:tcPr>
            <w:tcW w:w="226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1333 652,51 </w:t>
            </w:r>
          </w:p>
        </w:tc>
        <w:tc>
          <w:tcPr>
            <w:tcW w:w="145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1325 491,39 </w:t>
            </w:r>
          </w:p>
        </w:tc>
        <w:tc>
          <w:tcPr>
            <w:tcW w:w="17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-8 161,12 </w:t>
            </w:r>
          </w:p>
        </w:tc>
        <w:tc>
          <w:tcPr>
            <w:tcW w:w="1303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- 0,6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Охрана окружающей среды</w:t>
            </w:r>
          </w:p>
        </w:tc>
        <w:tc>
          <w:tcPr>
            <w:tcW w:w="226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5,75 </w:t>
            </w:r>
          </w:p>
        </w:tc>
        <w:tc>
          <w:tcPr>
            <w:tcW w:w="145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5,75 </w:t>
            </w:r>
          </w:p>
        </w:tc>
        <w:tc>
          <w:tcPr>
            <w:tcW w:w="17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  <w:tc>
          <w:tcPr>
            <w:tcW w:w="1303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 xml:space="preserve">Образование </w:t>
            </w:r>
          </w:p>
        </w:tc>
        <w:tc>
          <w:tcPr>
            <w:tcW w:w="226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2012 285,05 </w:t>
            </w:r>
          </w:p>
        </w:tc>
        <w:tc>
          <w:tcPr>
            <w:tcW w:w="145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2015 273,56 </w:t>
            </w:r>
          </w:p>
        </w:tc>
        <w:tc>
          <w:tcPr>
            <w:tcW w:w="17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2 988,51 </w:t>
            </w:r>
          </w:p>
        </w:tc>
        <w:tc>
          <w:tcPr>
            <w:tcW w:w="1303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Культура, кинематография</w:t>
            </w:r>
          </w:p>
        </w:tc>
        <w:tc>
          <w:tcPr>
            <w:tcW w:w="226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172 532,28 </w:t>
            </w:r>
          </w:p>
        </w:tc>
        <w:tc>
          <w:tcPr>
            <w:tcW w:w="145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176 688,18 </w:t>
            </w:r>
          </w:p>
        </w:tc>
        <w:tc>
          <w:tcPr>
            <w:tcW w:w="17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4 155,90 </w:t>
            </w:r>
          </w:p>
        </w:tc>
        <w:tc>
          <w:tcPr>
            <w:tcW w:w="1303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Здравоохранение</w:t>
            </w:r>
          </w:p>
        </w:tc>
        <w:tc>
          <w:tcPr>
            <w:tcW w:w="226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14 688,36 </w:t>
            </w:r>
          </w:p>
        </w:tc>
        <w:tc>
          <w:tcPr>
            <w:tcW w:w="145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14 688,36 </w:t>
            </w:r>
          </w:p>
        </w:tc>
        <w:tc>
          <w:tcPr>
            <w:tcW w:w="17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  <w:tc>
          <w:tcPr>
            <w:tcW w:w="1303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Социальная политика</w:t>
            </w:r>
          </w:p>
        </w:tc>
        <w:tc>
          <w:tcPr>
            <w:tcW w:w="226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97 679,40 </w:t>
            </w:r>
          </w:p>
        </w:tc>
        <w:tc>
          <w:tcPr>
            <w:tcW w:w="145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98 375,33 </w:t>
            </w:r>
          </w:p>
        </w:tc>
        <w:tc>
          <w:tcPr>
            <w:tcW w:w="17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695,93 </w:t>
            </w:r>
          </w:p>
        </w:tc>
        <w:tc>
          <w:tcPr>
            <w:tcW w:w="1303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 w:eastAsiaTheme="minorEastAsia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Физическая культура и спорт</w:t>
            </w:r>
          </w:p>
        </w:tc>
        <w:tc>
          <w:tcPr>
            <w:tcW w:w="226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140 546,96 </w:t>
            </w:r>
          </w:p>
        </w:tc>
        <w:tc>
          <w:tcPr>
            <w:tcW w:w="145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139 967,34 </w:t>
            </w:r>
          </w:p>
        </w:tc>
        <w:tc>
          <w:tcPr>
            <w:tcW w:w="17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- 579,62 </w:t>
            </w:r>
          </w:p>
        </w:tc>
        <w:tc>
          <w:tcPr>
            <w:tcW w:w="1303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- 0,4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/>
              </w:rPr>
              <w:t>Средства массовой информации</w:t>
            </w:r>
          </w:p>
        </w:tc>
        <w:tc>
          <w:tcPr>
            <w:tcW w:w="226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9 008,48 </w:t>
            </w:r>
          </w:p>
        </w:tc>
        <w:tc>
          <w:tcPr>
            <w:tcW w:w="145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9 008,48 </w:t>
            </w:r>
          </w:p>
        </w:tc>
        <w:tc>
          <w:tcPr>
            <w:tcW w:w="17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  <w:tc>
          <w:tcPr>
            <w:tcW w:w="1303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989" w:type="dxa"/>
            <w:noWrap/>
          </w:tcPr>
          <w:p>
            <w:pPr>
              <w:spacing w:after="0" w:line="240" w:lineRule="auto"/>
              <w:textAlignment w:val="top"/>
              <w:rPr>
                <w:rFonts w:ascii="Times New Roman" w:hAnsi="Times New Roman" w:eastAsia="SimSun"/>
                <w:bCs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SimSun"/>
                <w:bCs/>
                <w:color w:val="000000"/>
                <w:sz w:val="20"/>
                <w:szCs w:val="20"/>
                <w:lang w:val="en-US" w:eastAsia="zh-CN"/>
              </w:rPr>
              <w:t>Всего расходов</w:t>
            </w:r>
          </w:p>
        </w:tc>
        <w:tc>
          <w:tcPr>
            <w:tcW w:w="226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4656 803,84 </w:t>
            </w:r>
          </w:p>
        </w:tc>
        <w:tc>
          <w:tcPr>
            <w:tcW w:w="145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4654 537,05 </w:t>
            </w:r>
          </w:p>
        </w:tc>
        <w:tc>
          <w:tcPr>
            <w:tcW w:w="17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-2 266,79 </w:t>
            </w:r>
          </w:p>
        </w:tc>
        <w:tc>
          <w:tcPr>
            <w:tcW w:w="1303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shd w:val="clear" w:color="auto" w:fill="FFFFFF"/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>
      <w:pPr>
        <w:shd w:val="clear" w:color="auto" w:fill="FFFFFF"/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об изменениях финансового обеспечения муниципальных программ Богородского муниципального округа Нижегородской области на 2025 год представлена в таблице.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тыс. рублей</w:t>
      </w:r>
    </w:p>
    <w:tbl>
      <w:tblPr>
        <w:tblStyle w:val="3"/>
        <w:tblW w:w="98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560"/>
        <w:gridCol w:w="1275"/>
        <w:gridCol w:w="1418"/>
        <w:gridCol w:w="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560" w:type="dxa"/>
            <w:noWrap/>
            <w:vAlign w:val="center"/>
          </w:tcPr>
          <w:p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Решение от 12.12.2024 № 117  (в редакции решения от </w:t>
            </w:r>
            <w:r>
              <w:rPr>
                <w:rFonts w:hint="default" w:ascii="Times New Roman" w:hAnsi="Times New Roman"/>
                <w:bCs/>
                <w:sz w:val="20"/>
                <w:szCs w:val="20"/>
                <w:lang w:val="ru-RU"/>
              </w:rPr>
              <w:t>30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hint="default" w:ascii="Times New Roman" w:hAnsi="Times New Roman"/>
                <w:bCs/>
                <w:sz w:val="20"/>
                <w:szCs w:val="20"/>
                <w:lang w:val="ru-RU"/>
              </w:rPr>
              <w:t>131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>Изменения к утвержденному решению</w:t>
            </w:r>
          </w:p>
        </w:tc>
        <w:tc>
          <w:tcPr>
            <w:tcW w:w="90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sz w:val="20"/>
                <w:szCs w:val="20"/>
              </w:rPr>
              <w:t>% изменения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«Развитие образования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1951 710,60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1956 103,78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4 393,18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16 849,73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17 435,87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586,14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423 257,34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422 641,96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- 615,38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- 0,1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«Развитие культуры в Богородском муниципальном округе Нижегородской области»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231 779,82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234 635,71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2 855,89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131 715,79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131 136,17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- 579,62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- 0,4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136 967,23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137 229,28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262,05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45 081,22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45 156,36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75,14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56 977,76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58 009,04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1 031,28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1 005,20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1 005,20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348 405,43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348 288,02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- 117,41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656 314,53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648 332,85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-7 981,68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- 1,2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91 423,51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92 070,05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646,54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«Информационное общество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25 785,58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25 947,79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162,21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44 794,96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43 170,83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-1 624,13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- 3,6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19 268,75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19 268,76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0,01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276 254,55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276 859,16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604,61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4" w:type="dxa"/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/>
              </w:rPr>
              <w:t>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30,00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30,00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644" w:type="dxa"/>
            <w:noWrap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/>
                <w:bCs/>
                <w:color w:val="000000"/>
                <w:sz w:val="20"/>
                <w:szCs w:val="20"/>
                <w:lang w:val="en-US" w:eastAsia="zh-CN"/>
              </w:rPr>
              <w:t>Всего:</w:t>
            </w:r>
          </w:p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4457 622,00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4457 320,83 </w:t>
            </w:r>
          </w:p>
        </w:tc>
        <w:tc>
          <w:tcPr>
            <w:tcW w:w="14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- 301,17 </w:t>
            </w:r>
          </w:p>
        </w:tc>
        <w:tc>
          <w:tcPr>
            <w:tcW w:w="9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 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Основные </w:t>
      </w:r>
      <w:r>
        <w:rPr>
          <w:rFonts w:ascii="Times New Roman" w:hAnsi="Times New Roman"/>
          <w:sz w:val="26"/>
          <w:szCs w:val="26"/>
        </w:rPr>
        <w:t xml:space="preserve">изменения финансового обеспечения предусмотрены по муниципальным программам 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>«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>Управление муниципальным имуществом и земельными ресурсами Богородского муниципального округа Нижегородской области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» </w:t>
      </w:r>
      <w:r>
        <w:rPr>
          <w:rFonts w:ascii="Times New Roman" w:hAnsi="Times New Roman"/>
          <w:color w:val="000000"/>
          <w:sz w:val="26"/>
          <w:szCs w:val="26"/>
        </w:rPr>
        <w:t xml:space="preserve">в сумме увеличения на 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1 031,28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 </w:t>
      </w:r>
      <w:r>
        <w:rPr>
          <w:rFonts w:ascii="Times New Roman" w:hAnsi="Times New Roman" w:eastAsiaTheme="minorEastAsia"/>
          <w:sz w:val="26"/>
          <w:szCs w:val="26"/>
        </w:rPr>
        <w:t xml:space="preserve">тыс. рублей (или на </w:t>
      </w:r>
      <w:r>
        <w:rPr>
          <w:rFonts w:hint="default" w:ascii="Times New Roman" w:hAnsi="Times New Roman" w:eastAsiaTheme="minorEastAsia"/>
          <w:sz w:val="26"/>
          <w:szCs w:val="26"/>
          <w:lang w:val="ru-RU"/>
        </w:rPr>
        <w:t>1,8</w:t>
      </w:r>
      <w:r>
        <w:rPr>
          <w:rFonts w:ascii="Times New Roman" w:hAnsi="Times New Roman" w:eastAsiaTheme="minorEastAsia"/>
          <w:sz w:val="26"/>
          <w:szCs w:val="26"/>
        </w:rPr>
        <w:t xml:space="preserve"> 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, «Социальная поддержка граждан Богородского муниципального округа Нижегородской области» с увеличением на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586,14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eastAsiaTheme="minorEastAsia"/>
          <w:sz w:val="26"/>
          <w:szCs w:val="26"/>
        </w:rPr>
        <w:t xml:space="preserve">тыс. рублей (или на </w:t>
      </w:r>
      <w:r>
        <w:rPr>
          <w:rFonts w:hint="default" w:ascii="Times New Roman" w:hAnsi="Times New Roman" w:eastAsiaTheme="minorEastAsia"/>
          <w:sz w:val="26"/>
          <w:szCs w:val="26"/>
          <w:lang w:val="ru-RU"/>
        </w:rPr>
        <w:t>3,5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 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>, «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>Развитие муниципальной службы в Богородском муниципальном округе Нижегородской области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» </w:t>
      </w:r>
      <w:r>
        <w:rPr>
          <w:rFonts w:ascii="Times New Roman" w:hAnsi="Times New Roman" w:eastAsiaTheme="minorEastAsia"/>
          <w:sz w:val="26"/>
          <w:szCs w:val="26"/>
        </w:rPr>
        <w:t>с у</w:t>
      </w:r>
      <w:r>
        <w:rPr>
          <w:rFonts w:ascii="Times New Roman" w:hAnsi="Times New Roman" w:eastAsiaTheme="minorEastAsia"/>
          <w:sz w:val="26"/>
          <w:szCs w:val="26"/>
          <w:lang w:val="ru-RU"/>
        </w:rPr>
        <w:t>меньшением</w:t>
      </w:r>
      <w:r>
        <w:rPr>
          <w:rFonts w:ascii="Times New Roman" w:hAnsi="Times New Roman" w:eastAsiaTheme="minorEastAsia"/>
          <w:sz w:val="26"/>
          <w:szCs w:val="26"/>
        </w:rPr>
        <w:t xml:space="preserve"> на </w:t>
      </w:r>
      <w:bookmarkStart w:id="0" w:name="_GoBack"/>
      <w:bookmarkEnd w:id="0"/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 xml:space="preserve">1 624,13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eastAsiaTheme="minorEastAsia"/>
          <w:sz w:val="26"/>
          <w:szCs w:val="26"/>
        </w:rPr>
        <w:t xml:space="preserve">тыс. рублей (или на </w:t>
      </w:r>
      <w:r>
        <w:rPr>
          <w:rFonts w:hint="default" w:ascii="Times New Roman" w:hAnsi="Times New Roman" w:eastAsiaTheme="minorEastAsia"/>
          <w:sz w:val="26"/>
          <w:szCs w:val="26"/>
          <w:lang w:val="ru-RU"/>
        </w:rPr>
        <w:t>3,6</w:t>
      </w:r>
      <w:r>
        <w:rPr>
          <w:rFonts w:ascii="Times New Roman" w:hAnsi="Times New Roman" w:eastAsia="SimSun"/>
          <w:color w:val="000000"/>
          <w:sz w:val="26"/>
          <w:szCs w:val="26"/>
          <w:lang w:eastAsia="zh-CN"/>
        </w:rPr>
        <w:t xml:space="preserve"> %</w:t>
      </w:r>
      <w:r>
        <w:rPr>
          <w:rFonts w:ascii="Times New Roman" w:hAnsi="Times New Roman"/>
          <w:color w:val="000000"/>
          <w:sz w:val="26"/>
          <w:szCs w:val="26"/>
        </w:rPr>
        <w:t>).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Непрограммные расходы составили </w:t>
      </w:r>
      <w:r>
        <w:rPr>
          <w:rFonts w:hint="default" w:ascii="Times New Roman" w:hAnsi="Times New Roman"/>
          <w:color w:val="000000"/>
          <w:sz w:val="26"/>
          <w:szCs w:val="26"/>
        </w:rPr>
        <w:t>197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color w:val="000000"/>
          <w:sz w:val="26"/>
          <w:szCs w:val="26"/>
        </w:rPr>
        <w:t>216,22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рублей, у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меньшили</w:t>
      </w:r>
      <w:r>
        <w:rPr>
          <w:rFonts w:ascii="Times New Roman" w:hAnsi="Times New Roman"/>
          <w:color w:val="000000"/>
          <w:sz w:val="26"/>
          <w:szCs w:val="26"/>
        </w:rPr>
        <w:t xml:space="preserve">сь на 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>1 965,62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рублей. </w:t>
      </w: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Style w:val="188"/>
        <w:numPr>
          <w:ilvl w:val="0"/>
          <w:numId w:val="1"/>
        </w:numPr>
        <w:spacing w:before="240" w:after="0" w:line="240" w:lineRule="auto"/>
        <w:ind w:left="-360" w:firstLine="65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Основные изменения по источникам финансирования дефицита бюджета</w:t>
      </w:r>
    </w:p>
    <w:p>
      <w:pPr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Проектом решения предусмотрено исполнение местного бюджета с дефицитом в сумм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 xml:space="preserve">е </w:t>
      </w:r>
      <w:r>
        <w:rPr>
          <w:rFonts w:hint="default" w:ascii="Times New Roman" w:hAnsi="Times New Roman" w:cs="Times New Roman"/>
          <w:sz w:val="26"/>
          <w:szCs w:val="26"/>
        </w:rPr>
        <w:t>333 916,71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 xml:space="preserve">тыс. рублей. В качестве источников внутреннего финансирования дефицита бюджета предусмотрены остатки средств на счетах по учету средств бюджета в сумме </w:t>
      </w:r>
      <w:r>
        <w:rPr>
          <w:rFonts w:hint="default" w:ascii="Times New Roman" w:hAnsi="Times New Roman" w:cs="Times New Roman"/>
          <w:sz w:val="26"/>
          <w:szCs w:val="26"/>
        </w:rPr>
        <w:t xml:space="preserve">333 916,71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тыс. руб</w:t>
      </w:r>
      <w:r>
        <w:rPr>
          <w:rFonts w:ascii="Times New Roman" w:hAnsi="Times New Roman"/>
          <w:color w:val="000000"/>
          <w:sz w:val="26"/>
          <w:szCs w:val="26"/>
        </w:rPr>
        <w:t>лей.</w:t>
      </w:r>
      <w:r>
        <w:rPr>
          <w:rFonts w:ascii="Times New Roman" w:hAnsi="Times New Roman"/>
          <w:sz w:val="26"/>
          <w:szCs w:val="26"/>
        </w:rPr>
        <w:tab/>
      </w:r>
    </w:p>
    <w:p>
      <w:pPr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Проектом решения о бюджете соблюдены требования и ограничения, установленные Бюджетным кодексом Российской Федерации: 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п. 5 ст. 179.4 – по объему бюджетных ассигнований дорожного фонда </w:t>
      </w:r>
      <w:r>
        <w:rPr>
          <w:rFonts w:ascii="Times New Roman" w:hAnsi="Times New Roman"/>
          <w:color w:val="000000"/>
          <w:sz w:val="26"/>
          <w:szCs w:val="26"/>
        </w:rPr>
        <w:t>Богородского муниципального округа Нижегородской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п. 3 ст. 184.1 – по общему объему условно утверждаемых расходов, а также бюджетных ассигнований, направляемых на исполнение публичных нормативных обязательств. </w:t>
      </w:r>
    </w:p>
    <w:p>
      <w:pPr>
        <w:spacing w:after="0" w:line="240" w:lineRule="auto"/>
        <w:ind w:firstLine="657" w:firstLineChars="2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п. 3 ст. 92.1 – по размеру дефицита бюджета.</w:t>
      </w:r>
    </w:p>
    <w:p>
      <w:pPr>
        <w:pStyle w:val="19"/>
        <w:spacing w:after="0"/>
        <w:ind w:left="0" w:firstLine="657" w:firstLineChars="253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Представленный проект решения не противоречит действующему законодательству и рекомендуется к рассмотрению на заседании Совета депутатов Богородского муниципального округа Нижегородской области.</w:t>
      </w:r>
    </w:p>
    <w:p>
      <w:pPr>
        <w:pStyle w:val="188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Председатель контрольно-счетной</w:t>
      </w: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комиссии Богородского муниципального </w:t>
      </w: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округа Нижегородской области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Н.В.Гуськова </w:t>
      </w: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Style w:val="188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>4.11</w:t>
      </w:r>
      <w:r>
        <w:rPr>
          <w:rFonts w:ascii="Times New Roman" w:hAnsi="Times New Roman"/>
          <w:color w:val="000000"/>
          <w:sz w:val="26"/>
          <w:szCs w:val="26"/>
        </w:rPr>
        <w:t>.2025</w:t>
      </w:r>
    </w:p>
    <w:sectPr>
      <w:pgSz w:w="11906" w:h="16838"/>
      <w:pgMar w:top="993" w:right="745" w:bottom="1135" w:left="148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510E3"/>
    <w:multiLevelType w:val="multilevel"/>
    <w:tmpl w:val="05C510E3"/>
    <w:lvl w:ilvl="0" w:tentative="0">
      <w:start w:val="1"/>
      <w:numFmt w:val="decimal"/>
      <w:lvlText w:val="%1)"/>
      <w:lvlJc w:val="left"/>
      <w:pPr>
        <w:ind w:left="-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AB82"/>
    <w:multiLevelType w:val="singleLevel"/>
    <w:tmpl w:val="09E4AB82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15AF1B57"/>
    <w:multiLevelType w:val="multilevel"/>
    <w:tmpl w:val="15AF1B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B02E6"/>
    <w:multiLevelType w:val="multilevel"/>
    <w:tmpl w:val="1D4B02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2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3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4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5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6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7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8" w:tentative="0">
      <w:start w:val="1"/>
      <w:numFmt w:val="none"/>
      <w:lvlText w:val=""/>
      <w:lvlJc w:val="left"/>
      <w:pPr>
        <w:tabs>
          <w:tab w:val="left" w:pos="360"/>
        </w:tabs>
        <w:ind w:left="-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38"/>
    <w:rsid w:val="0000096D"/>
    <w:rsid w:val="00006AC2"/>
    <w:rsid w:val="000167CE"/>
    <w:rsid w:val="00021463"/>
    <w:rsid w:val="0004438D"/>
    <w:rsid w:val="00072D91"/>
    <w:rsid w:val="000A12F7"/>
    <w:rsid w:val="000A49BB"/>
    <w:rsid w:val="000A4E73"/>
    <w:rsid w:val="000B0B74"/>
    <w:rsid w:val="000F48F3"/>
    <w:rsid w:val="000F7FF5"/>
    <w:rsid w:val="00103BA2"/>
    <w:rsid w:val="001336DB"/>
    <w:rsid w:val="00142B2E"/>
    <w:rsid w:val="001431CF"/>
    <w:rsid w:val="00167EE0"/>
    <w:rsid w:val="00173182"/>
    <w:rsid w:val="001A1A4D"/>
    <w:rsid w:val="001B604B"/>
    <w:rsid w:val="001D0807"/>
    <w:rsid w:val="001E0B4E"/>
    <w:rsid w:val="001E12C9"/>
    <w:rsid w:val="001F49ED"/>
    <w:rsid w:val="002121AE"/>
    <w:rsid w:val="00221175"/>
    <w:rsid w:val="002371E6"/>
    <w:rsid w:val="00246A2F"/>
    <w:rsid w:val="00251FC5"/>
    <w:rsid w:val="0026743D"/>
    <w:rsid w:val="00296286"/>
    <w:rsid w:val="002A33B6"/>
    <w:rsid w:val="002B2B27"/>
    <w:rsid w:val="002D2AD4"/>
    <w:rsid w:val="003039B2"/>
    <w:rsid w:val="003141AA"/>
    <w:rsid w:val="003153A3"/>
    <w:rsid w:val="00330709"/>
    <w:rsid w:val="00341906"/>
    <w:rsid w:val="0035525C"/>
    <w:rsid w:val="00356139"/>
    <w:rsid w:val="00362AE1"/>
    <w:rsid w:val="00363590"/>
    <w:rsid w:val="00383DF6"/>
    <w:rsid w:val="00390B02"/>
    <w:rsid w:val="00395AE8"/>
    <w:rsid w:val="00397130"/>
    <w:rsid w:val="003C0B8C"/>
    <w:rsid w:val="003D0276"/>
    <w:rsid w:val="004034E2"/>
    <w:rsid w:val="004274E8"/>
    <w:rsid w:val="00433196"/>
    <w:rsid w:val="004507E8"/>
    <w:rsid w:val="00453038"/>
    <w:rsid w:val="004645CB"/>
    <w:rsid w:val="004E716F"/>
    <w:rsid w:val="00502A76"/>
    <w:rsid w:val="00502BBF"/>
    <w:rsid w:val="00505924"/>
    <w:rsid w:val="00513616"/>
    <w:rsid w:val="005212CD"/>
    <w:rsid w:val="00522626"/>
    <w:rsid w:val="00522A16"/>
    <w:rsid w:val="00525441"/>
    <w:rsid w:val="005510F5"/>
    <w:rsid w:val="00563FA9"/>
    <w:rsid w:val="00572D62"/>
    <w:rsid w:val="005809EC"/>
    <w:rsid w:val="005A24F7"/>
    <w:rsid w:val="005B3760"/>
    <w:rsid w:val="005B5BEC"/>
    <w:rsid w:val="005E6434"/>
    <w:rsid w:val="006114D2"/>
    <w:rsid w:val="00613BD2"/>
    <w:rsid w:val="006672A0"/>
    <w:rsid w:val="006965B3"/>
    <w:rsid w:val="006B1CC7"/>
    <w:rsid w:val="006B2DA7"/>
    <w:rsid w:val="006B530F"/>
    <w:rsid w:val="006C0338"/>
    <w:rsid w:val="006C06B0"/>
    <w:rsid w:val="006E2F55"/>
    <w:rsid w:val="00710C19"/>
    <w:rsid w:val="007347DE"/>
    <w:rsid w:val="00736113"/>
    <w:rsid w:val="00763AD4"/>
    <w:rsid w:val="00770664"/>
    <w:rsid w:val="00774E16"/>
    <w:rsid w:val="00791C1B"/>
    <w:rsid w:val="007E4536"/>
    <w:rsid w:val="007F414C"/>
    <w:rsid w:val="0080443A"/>
    <w:rsid w:val="00832F51"/>
    <w:rsid w:val="008342E3"/>
    <w:rsid w:val="00870D43"/>
    <w:rsid w:val="008772E7"/>
    <w:rsid w:val="008A497C"/>
    <w:rsid w:val="008B2EEF"/>
    <w:rsid w:val="008C60B6"/>
    <w:rsid w:val="008E28FA"/>
    <w:rsid w:val="00905050"/>
    <w:rsid w:val="009179D1"/>
    <w:rsid w:val="0093255C"/>
    <w:rsid w:val="00941B00"/>
    <w:rsid w:val="0098078B"/>
    <w:rsid w:val="00984E0E"/>
    <w:rsid w:val="009A4A18"/>
    <w:rsid w:val="009C0999"/>
    <w:rsid w:val="009C2694"/>
    <w:rsid w:val="009C6F8C"/>
    <w:rsid w:val="009E1460"/>
    <w:rsid w:val="00A04D18"/>
    <w:rsid w:val="00A113DE"/>
    <w:rsid w:val="00A4133A"/>
    <w:rsid w:val="00A43977"/>
    <w:rsid w:val="00A477C0"/>
    <w:rsid w:val="00A54215"/>
    <w:rsid w:val="00A55022"/>
    <w:rsid w:val="00A87A72"/>
    <w:rsid w:val="00AA742D"/>
    <w:rsid w:val="00AC3073"/>
    <w:rsid w:val="00AC6631"/>
    <w:rsid w:val="00AD11F3"/>
    <w:rsid w:val="00AD21A5"/>
    <w:rsid w:val="00B12A47"/>
    <w:rsid w:val="00B12C5C"/>
    <w:rsid w:val="00B156DF"/>
    <w:rsid w:val="00B232BE"/>
    <w:rsid w:val="00B27DA3"/>
    <w:rsid w:val="00B43A5D"/>
    <w:rsid w:val="00B75C44"/>
    <w:rsid w:val="00B76401"/>
    <w:rsid w:val="00B815A1"/>
    <w:rsid w:val="00B82753"/>
    <w:rsid w:val="00B82BAD"/>
    <w:rsid w:val="00B8679E"/>
    <w:rsid w:val="00BA1D1E"/>
    <w:rsid w:val="00BA37DA"/>
    <w:rsid w:val="00BB2038"/>
    <w:rsid w:val="00BB2D28"/>
    <w:rsid w:val="00BE2DE6"/>
    <w:rsid w:val="00BE31F9"/>
    <w:rsid w:val="00BF5847"/>
    <w:rsid w:val="00C3574E"/>
    <w:rsid w:val="00C362E6"/>
    <w:rsid w:val="00C4359A"/>
    <w:rsid w:val="00C55A8D"/>
    <w:rsid w:val="00C5767B"/>
    <w:rsid w:val="00C6666F"/>
    <w:rsid w:val="00C916A5"/>
    <w:rsid w:val="00C91988"/>
    <w:rsid w:val="00C920E5"/>
    <w:rsid w:val="00CE5D92"/>
    <w:rsid w:val="00D00607"/>
    <w:rsid w:val="00D074BF"/>
    <w:rsid w:val="00D3048A"/>
    <w:rsid w:val="00D35B25"/>
    <w:rsid w:val="00D57BE5"/>
    <w:rsid w:val="00D758F6"/>
    <w:rsid w:val="00DB062D"/>
    <w:rsid w:val="00DC0280"/>
    <w:rsid w:val="00DC0B5A"/>
    <w:rsid w:val="00DD644F"/>
    <w:rsid w:val="00E27D8C"/>
    <w:rsid w:val="00E45863"/>
    <w:rsid w:val="00E661F4"/>
    <w:rsid w:val="00E72892"/>
    <w:rsid w:val="00E86241"/>
    <w:rsid w:val="00EC4245"/>
    <w:rsid w:val="00ED5F12"/>
    <w:rsid w:val="00EE0274"/>
    <w:rsid w:val="00EE07CA"/>
    <w:rsid w:val="00EE5F20"/>
    <w:rsid w:val="00EF0584"/>
    <w:rsid w:val="00F10F8C"/>
    <w:rsid w:val="00F302FC"/>
    <w:rsid w:val="00F430EB"/>
    <w:rsid w:val="00F7124C"/>
    <w:rsid w:val="00F85512"/>
    <w:rsid w:val="00F8698C"/>
    <w:rsid w:val="00FB43F0"/>
    <w:rsid w:val="00FC49C8"/>
    <w:rsid w:val="00FC7954"/>
    <w:rsid w:val="00FD1949"/>
    <w:rsid w:val="00FD34F5"/>
    <w:rsid w:val="017C1F56"/>
    <w:rsid w:val="01EB50C9"/>
    <w:rsid w:val="033C59C6"/>
    <w:rsid w:val="03D72572"/>
    <w:rsid w:val="040F5773"/>
    <w:rsid w:val="05773987"/>
    <w:rsid w:val="08506633"/>
    <w:rsid w:val="08C2146E"/>
    <w:rsid w:val="095D5331"/>
    <w:rsid w:val="09D0475C"/>
    <w:rsid w:val="0A57305D"/>
    <w:rsid w:val="0A663F99"/>
    <w:rsid w:val="0BF53812"/>
    <w:rsid w:val="0E6620EF"/>
    <w:rsid w:val="0E795E8E"/>
    <w:rsid w:val="0F1A6058"/>
    <w:rsid w:val="10AC4A40"/>
    <w:rsid w:val="10B2517F"/>
    <w:rsid w:val="123F21C2"/>
    <w:rsid w:val="16387814"/>
    <w:rsid w:val="174A7134"/>
    <w:rsid w:val="174B23F8"/>
    <w:rsid w:val="181B5089"/>
    <w:rsid w:val="1A212ADE"/>
    <w:rsid w:val="1BA8257F"/>
    <w:rsid w:val="1D44409F"/>
    <w:rsid w:val="1EC5770B"/>
    <w:rsid w:val="1F596014"/>
    <w:rsid w:val="20252C50"/>
    <w:rsid w:val="20282B52"/>
    <w:rsid w:val="20752C51"/>
    <w:rsid w:val="218D3C49"/>
    <w:rsid w:val="22804282"/>
    <w:rsid w:val="228F7F7C"/>
    <w:rsid w:val="25F97FE6"/>
    <w:rsid w:val="278F0DF5"/>
    <w:rsid w:val="29557925"/>
    <w:rsid w:val="29CB32FD"/>
    <w:rsid w:val="2AD07A1F"/>
    <w:rsid w:val="2B995F99"/>
    <w:rsid w:val="2BD337CD"/>
    <w:rsid w:val="2C372864"/>
    <w:rsid w:val="2E7002BB"/>
    <w:rsid w:val="2EB83193"/>
    <w:rsid w:val="2EFE0757"/>
    <w:rsid w:val="2F093B3A"/>
    <w:rsid w:val="303059B9"/>
    <w:rsid w:val="329A772E"/>
    <w:rsid w:val="32B003EE"/>
    <w:rsid w:val="358D75EC"/>
    <w:rsid w:val="35E01E6A"/>
    <w:rsid w:val="3647326D"/>
    <w:rsid w:val="36ED1F13"/>
    <w:rsid w:val="3B056CE2"/>
    <w:rsid w:val="3B356BB3"/>
    <w:rsid w:val="3B745E2B"/>
    <w:rsid w:val="3D0E2F7F"/>
    <w:rsid w:val="3E22754F"/>
    <w:rsid w:val="3E3245F1"/>
    <w:rsid w:val="3E900341"/>
    <w:rsid w:val="3EC36B2A"/>
    <w:rsid w:val="42016925"/>
    <w:rsid w:val="422E1FD7"/>
    <w:rsid w:val="4386542C"/>
    <w:rsid w:val="43D10CAF"/>
    <w:rsid w:val="441A52C7"/>
    <w:rsid w:val="441D624B"/>
    <w:rsid w:val="461A1A2B"/>
    <w:rsid w:val="488274AF"/>
    <w:rsid w:val="492A1A2C"/>
    <w:rsid w:val="4F7A20A8"/>
    <w:rsid w:val="50D97F6E"/>
    <w:rsid w:val="520A6B93"/>
    <w:rsid w:val="52D41C73"/>
    <w:rsid w:val="52E40364"/>
    <w:rsid w:val="53E57625"/>
    <w:rsid w:val="545819D6"/>
    <w:rsid w:val="546F7724"/>
    <w:rsid w:val="54890893"/>
    <w:rsid w:val="55833ADA"/>
    <w:rsid w:val="56B64DD1"/>
    <w:rsid w:val="57967CC2"/>
    <w:rsid w:val="5B553D2A"/>
    <w:rsid w:val="5BEB30DD"/>
    <w:rsid w:val="5DAD533E"/>
    <w:rsid w:val="5DC913EB"/>
    <w:rsid w:val="5E805317"/>
    <w:rsid w:val="5E941AD8"/>
    <w:rsid w:val="5F4A27E1"/>
    <w:rsid w:val="604C498D"/>
    <w:rsid w:val="60D81969"/>
    <w:rsid w:val="60E5134B"/>
    <w:rsid w:val="63672527"/>
    <w:rsid w:val="64B7454D"/>
    <w:rsid w:val="668079E5"/>
    <w:rsid w:val="67F56F1D"/>
    <w:rsid w:val="69D23A98"/>
    <w:rsid w:val="6AED06A1"/>
    <w:rsid w:val="6DEE6AE4"/>
    <w:rsid w:val="6EF834EE"/>
    <w:rsid w:val="6FA4387E"/>
    <w:rsid w:val="6FCA3275"/>
    <w:rsid w:val="71445ABE"/>
    <w:rsid w:val="72982AA9"/>
    <w:rsid w:val="743950BE"/>
    <w:rsid w:val="75205DC0"/>
    <w:rsid w:val="762B7CFF"/>
    <w:rsid w:val="77042FD3"/>
    <w:rsid w:val="78F1079E"/>
    <w:rsid w:val="7C09154E"/>
    <w:rsid w:val="7C4527FD"/>
    <w:rsid w:val="7FB638B2"/>
    <w:rsid w:val="7FFD24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8">
    <w:name w:val="footnote text"/>
    <w:basedOn w:val="1"/>
    <w:link w:val="185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able of figures"/>
    <w:basedOn w:val="1"/>
    <w:next w:val="1"/>
    <w:unhideWhenUsed/>
    <w:qFormat/>
    <w:uiPriority w:val="99"/>
    <w:pPr>
      <w:spacing w:after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9">
    <w:name w:val="Body Text Indent"/>
    <w:basedOn w:val="1"/>
    <w:link w:val="189"/>
    <w:qFormat/>
    <w:uiPriority w:val="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0">
    <w:name w:val="Title"/>
    <w:basedOn w:val="1"/>
    <w:next w:val="1"/>
    <w:link w:val="48"/>
    <w:qFormat/>
    <w:uiPriority w:val="10"/>
    <w:pPr>
      <w:spacing w:before="300"/>
      <w:contextualSpacing/>
    </w:pPr>
    <w:rPr>
      <w:sz w:val="48"/>
      <w:szCs w:val="48"/>
    </w:rPr>
  </w:style>
  <w:style w:type="paragraph" w:styleId="21">
    <w:name w:val="Subtitle"/>
    <w:basedOn w:val="1"/>
    <w:next w:val="1"/>
    <w:link w:val="49"/>
    <w:qFormat/>
    <w:uiPriority w:val="11"/>
    <w:pPr>
      <w:spacing w:before="200"/>
    </w:pPr>
    <w:rPr>
      <w:sz w:val="24"/>
      <w:szCs w:val="24"/>
    </w:rPr>
  </w:style>
  <w:style w:type="table" w:styleId="22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Title Char"/>
    <w:basedOn w:val="2"/>
    <w:qFormat/>
    <w:uiPriority w:val="10"/>
    <w:rPr>
      <w:sz w:val="48"/>
      <w:szCs w:val="48"/>
    </w:rPr>
  </w:style>
  <w:style w:type="character" w:customStyle="1" w:styleId="24">
    <w:name w:val="Subtitle Char"/>
    <w:basedOn w:val="2"/>
    <w:qFormat/>
    <w:uiPriority w:val="11"/>
    <w:rPr>
      <w:sz w:val="24"/>
      <w:szCs w:val="24"/>
    </w:rPr>
  </w:style>
  <w:style w:type="character" w:customStyle="1" w:styleId="25">
    <w:name w:val="Quote Char"/>
    <w:qFormat/>
    <w:uiPriority w:val="29"/>
    <w:rPr>
      <w:i/>
    </w:rPr>
  </w:style>
  <w:style w:type="character" w:customStyle="1" w:styleId="26">
    <w:name w:val="Intense Quote Char"/>
    <w:qFormat/>
    <w:uiPriority w:val="30"/>
    <w:rPr>
      <w:i/>
    </w:rPr>
  </w:style>
  <w:style w:type="character" w:customStyle="1" w:styleId="27">
    <w:name w:val="Footnote Text Char"/>
    <w:qFormat/>
    <w:uiPriority w:val="99"/>
    <w:rPr>
      <w:sz w:val="18"/>
    </w:rPr>
  </w:style>
  <w:style w:type="character" w:customStyle="1" w:styleId="28">
    <w:name w:val="Endnote Text Char"/>
    <w:qFormat/>
    <w:uiPriority w:val="99"/>
    <w:rPr>
      <w:sz w:val="20"/>
    </w:rPr>
  </w:style>
  <w:style w:type="paragraph" w:customStyle="1" w:styleId="29">
    <w:name w:val="Heading 1"/>
    <w:basedOn w:val="1"/>
    <w:next w:val="1"/>
    <w:link w:val="30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30">
    <w:name w:val="Heading 1 Char"/>
    <w:basedOn w:val="2"/>
    <w:link w:val="29"/>
    <w:qFormat/>
    <w:uiPriority w:val="9"/>
    <w:rPr>
      <w:rFonts w:ascii="Arial" w:hAnsi="Arial" w:eastAsia="Arial" w:cs="Arial"/>
      <w:sz w:val="40"/>
      <w:szCs w:val="40"/>
    </w:rPr>
  </w:style>
  <w:style w:type="paragraph" w:customStyle="1" w:styleId="31">
    <w:name w:val="Heading 2"/>
    <w:basedOn w:val="1"/>
    <w:next w:val="1"/>
    <w:link w:val="32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character" w:customStyle="1" w:styleId="32">
    <w:name w:val="Heading 2 Char"/>
    <w:basedOn w:val="2"/>
    <w:link w:val="31"/>
    <w:qFormat/>
    <w:uiPriority w:val="9"/>
    <w:rPr>
      <w:rFonts w:ascii="Arial" w:hAnsi="Arial" w:eastAsia="Arial" w:cs="Arial"/>
      <w:sz w:val="34"/>
    </w:rPr>
  </w:style>
  <w:style w:type="paragraph" w:customStyle="1" w:styleId="33">
    <w:name w:val="Heading 3"/>
    <w:basedOn w:val="1"/>
    <w:next w:val="1"/>
    <w:link w:val="34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34">
    <w:name w:val="Heading 3 Char"/>
    <w:basedOn w:val="2"/>
    <w:link w:val="33"/>
    <w:qFormat/>
    <w:uiPriority w:val="9"/>
    <w:rPr>
      <w:rFonts w:ascii="Arial" w:hAnsi="Arial" w:eastAsia="Arial" w:cs="Arial"/>
      <w:sz w:val="30"/>
      <w:szCs w:val="30"/>
    </w:rPr>
  </w:style>
  <w:style w:type="paragraph" w:customStyle="1" w:styleId="35">
    <w:name w:val="Heading 4"/>
    <w:basedOn w:val="1"/>
    <w:next w:val="1"/>
    <w:link w:val="36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36">
    <w:name w:val="Heading 4 Char"/>
    <w:basedOn w:val="2"/>
    <w:link w:val="35"/>
    <w:qFormat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7">
    <w:name w:val="Heading 5"/>
    <w:basedOn w:val="1"/>
    <w:next w:val="1"/>
    <w:link w:val="38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5 Char"/>
    <w:basedOn w:val="2"/>
    <w:link w:val="37"/>
    <w:qFormat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9">
    <w:name w:val="Heading 6"/>
    <w:basedOn w:val="1"/>
    <w:next w:val="1"/>
    <w:link w:val="40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character" w:customStyle="1" w:styleId="40">
    <w:name w:val="Heading 6 Char"/>
    <w:basedOn w:val="2"/>
    <w:link w:val="39"/>
    <w:qFormat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41">
    <w:name w:val="Heading 7"/>
    <w:basedOn w:val="1"/>
    <w:next w:val="1"/>
    <w:link w:val="42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customStyle="1" w:styleId="42">
    <w:name w:val="Heading 7 Char"/>
    <w:basedOn w:val="2"/>
    <w:link w:val="4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3">
    <w:name w:val="Heading 8"/>
    <w:basedOn w:val="1"/>
    <w:next w:val="1"/>
    <w:link w:val="44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character" w:customStyle="1" w:styleId="44">
    <w:name w:val="Heading 8 Char"/>
    <w:basedOn w:val="2"/>
    <w:link w:val="43"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5">
    <w:name w:val="Heading 9"/>
    <w:basedOn w:val="1"/>
    <w:next w:val="1"/>
    <w:link w:val="46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Heading 9 Char"/>
    <w:basedOn w:val="2"/>
    <w:link w:val="45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No Spacing"/>
    <w:qFormat/>
    <w:uiPriority w:val="1"/>
    <w:rPr>
      <w:rFonts w:ascii="Times New Roman" w:hAnsi="Times New Roman" w:eastAsia="SimSun" w:cs="Times New Roman"/>
      <w:lang w:val="ru-RU" w:eastAsia="ru-RU" w:bidi="ar-SA"/>
    </w:rPr>
  </w:style>
  <w:style w:type="character" w:customStyle="1" w:styleId="48">
    <w:name w:val="Название Знак"/>
    <w:basedOn w:val="2"/>
    <w:link w:val="20"/>
    <w:qFormat/>
    <w:uiPriority w:val="10"/>
    <w:rPr>
      <w:sz w:val="48"/>
      <w:szCs w:val="48"/>
    </w:rPr>
  </w:style>
  <w:style w:type="character" w:customStyle="1" w:styleId="49">
    <w:name w:val="Подзаголовок Знак"/>
    <w:basedOn w:val="2"/>
    <w:link w:val="21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Цитата 2 Знак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Выделенная цитата Знак"/>
    <w:link w:val="52"/>
    <w:qFormat/>
    <w:uiPriority w:val="30"/>
    <w:rPr>
      <w:i/>
    </w:rPr>
  </w:style>
  <w:style w:type="character" w:customStyle="1" w:styleId="54">
    <w:name w:val="Header Char"/>
    <w:basedOn w:val="2"/>
    <w:link w:val="55"/>
    <w:qFormat/>
    <w:uiPriority w:val="99"/>
  </w:style>
  <w:style w:type="paragraph" w:customStyle="1" w:styleId="55">
    <w:name w:val="Header"/>
    <w:basedOn w:val="1"/>
    <w:link w:val="54"/>
    <w:semiHidden/>
    <w:unhideWhenUsed/>
    <w:qFormat/>
    <w:uiPriority w:val="99"/>
    <w:pPr>
      <w:tabs>
        <w:tab w:val="center" w:pos="4153"/>
        <w:tab w:val="right" w:pos="8306"/>
      </w:tabs>
    </w:pPr>
  </w:style>
  <w:style w:type="character" w:customStyle="1" w:styleId="56">
    <w:name w:val="Footer Char"/>
    <w:basedOn w:val="2"/>
    <w:qFormat/>
    <w:uiPriority w:val="99"/>
  </w:style>
  <w:style w:type="paragraph" w:customStyle="1" w:styleId="5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</w:rPr>
  </w:style>
  <w:style w:type="character" w:customStyle="1" w:styleId="58">
    <w:name w:val="Caption Char"/>
    <w:link w:val="59"/>
    <w:qFormat/>
    <w:uiPriority w:val="99"/>
  </w:style>
  <w:style w:type="paragraph" w:customStyle="1" w:styleId="59">
    <w:name w:val="Footer"/>
    <w:basedOn w:val="1"/>
    <w:link w:val="58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customStyle="1" w:styleId="6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Plain Table 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tcPr>
        <w:shd w:val="clear" w:color="FFFFFF" w:themeColor="text1" w:themeTint="00" w:fill="FFFFFF" w:themeFill="text1" w:themeFillTint="00"/>
      </w:tcPr>
    </w:tblStylePr>
  </w:style>
  <w:style w:type="table" w:customStyle="1" w:styleId="62">
    <w:name w:val="Plain Table 2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3">
    <w:name w:val="Plain Table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64">
    <w:name w:val="Plain Table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65">
    <w:name w:val="Plain Table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66">
    <w:name w:val="Grid Table 1 Light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3">
    <w:name w:val="Grid Table 2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3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4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4">
    <w:name w:val="Grid Table 5 Dark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1">
    <w:name w:val="Grid Table 6 Colorful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Tint="80"/>
      </w:rPr>
    </w:tblStylePr>
    <w:tblStylePr w:type="firstCol">
      <w:rPr>
        <w:b/>
        <w:color w:val="7E7E7E" w:themeColor="text1" w:themeTint="80"/>
      </w:rPr>
    </w:tblStylePr>
    <w:tblStylePr w:type="lastCol">
      <w:rPr>
        <w:b/>
        <w:color w:val="7E7E7E" w:themeColor="text1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0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10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896" w:themeColor="accent2" w:themeTint="96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896" w:themeColor="accent2" w:themeTint="96"/>
      </w:rPr>
    </w:tblStylePr>
    <w:tblStylePr w:type="firstCol">
      <w:rPr>
        <w:b/>
        <w:color w:val="D99896" w:themeColor="accent2" w:themeTint="96"/>
      </w:rPr>
    </w:tblStylePr>
    <w:tblStylePr w:type="lastCol">
      <w:rPr>
        <w:b/>
        <w:color w:val="D99896" w:themeColor="accent2" w:themeTint="96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896" w:themeColor="accent2" w:themeTint="96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896" w:themeColor="accent2" w:themeTint="96"/>
        <w:sz w:val="22"/>
      </w:rPr>
    </w:tblStylePr>
  </w:style>
  <w:style w:type="table" w:customStyle="1" w:styleId="10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10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10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10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108">
    <w:name w:val="Grid Table 7 Colorful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0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11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896" w:themeColor="accent2" w:themeTint="96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896" w:themeColor="accent2" w:themeTint="96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896" w:themeColor="accent2" w:themeTint="96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896" w:themeColor="accent2" w:themeTint="96"/>
        <w:sz w:val="22"/>
      </w:rPr>
    </w:tblStylePr>
  </w:style>
  <w:style w:type="table" w:customStyle="1" w:styleId="11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11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11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11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5">
    <w:name w:val="List Table 1 Light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1 Light - Accent 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1 Light - Accent 2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1 Light - Accent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1 Light - Accent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1 Light - Accent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1 Light - Accent 6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2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9">
    <w:name w:val="List Table 3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6">
    <w:name w:val="List Table 4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3">
    <w:name w:val="List Table 5 Dark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0">
    <w:name w:val="List Table 6 Colorful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5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4"/>
      </w:rPr>
    </w:tblStylePr>
    <w:tblStylePr w:type="lastCol">
      <w:rPr>
        <w:b/>
        <w:color w:val="2A4A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4"/>
        <w:sz w:val="22"/>
      </w:rPr>
    </w:tblStylePr>
  </w:style>
  <w:style w:type="table" w:customStyle="1" w:styleId="15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896" w:themeColor="accent2" w:themeTint="96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896" w:themeColor="accent2" w:themeTint="96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896" w:themeColor="accent2" w:themeTint="96"/>
      </w:rPr>
    </w:tblStylePr>
    <w:tblStylePr w:type="lastCol">
      <w:rPr>
        <w:b/>
        <w:color w:val="D99896" w:themeColor="accent2" w:themeTint="96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896" w:themeColor="accent2" w:themeTint="96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896" w:themeColor="accent2" w:themeTint="96"/>
        <w:sz w:val="22"/>
      </w:rPr>
    </w:tblStylePr>
  </w:style>
  <w:style w:type="table" w:customStyle="1" w:styleId="15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2D69B" w:themeColor="accent3" w:themeTint="99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15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7" w:themeColor="accent4" w:themeTint="99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15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DDC" w:themeColor="accent5" w:themeTint="99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15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BF8F" w:themeColor="accent6" w:themeTint="99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157">
    <w:name w:val="List Table 7 Colorful"/>
    <w:basedOn w:val="3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5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4"/>
        <w:sz w:val="22"/>
      </w:rPr>
    </w:tblStylePr>
  </w:style>
  <w:style w:type="table" w:customStyle="1" w:styleId="15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896" w:themeColor="accent2" w:themeTint="96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896" w:themeColor="accent2" w:themeTint="96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896" w:themeColor="accent2" w:themeTint="96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896" w:themeColor="accent2" w:themeTint="96"/>
        <w:sz w:val="22"/>
      </w:rPr>
    </w:tblStylePr>
  </w:style>
  <w:style w:type="table" w:customStyle="1" w:styleId="16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16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16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16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164">
    <w:name w:val="Lined - Accent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165">
    <w:name w:val="Lined - Accent 1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Lined - Accent 2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Lined - Accent 3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Lined - Accent 4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Lined - Accent 5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Lined - Accent 6"/>
    <w:basedOn w:val="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 &amp; Lined - Accent"/>
    <w:basedOn w:val="3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172">
    <w:name w:val="Bordered &amp; Lined - Accent 1"/>
    <w:basedOn w:val="3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3">
    <w:name w:val="Bordered &amp; Lined - Accent 2"/>
    <w:basedOn w:val="3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4">
    <w:name w:val="Bordered &amp; Lined - Accent 3"/>
    <w:basedOn w:val="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5">
    <w:name w:val="Bordered &amp; Lined - Accent 4"/>
    <w:basedOn w:val="3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6">
    <w:name w:val="Bordered &amp; Lined - Accent 5"/>
    <w:basedOn w:val="3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7">
    <w:name w:val="Bordered &amp; Lined - Accent 6"/>
    <w:basedOn w:val="3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5">
    <w:name w:val="Текст сноски Знак"/>
    <w:link w:val="8"/>
    <w:qFormat/>
    <w:uiPriority w:val="99"/>
    <w:rPr>
      <w:sz w:val="18"/>
    </w:rPr>
  </w:style>
  <w:style w:type="character" w:customStyle="1" w:styleId="186">
    <w:name w:val="Текст концевой сноски Знак"/>
    <w:link w:val="7"/>
    <w:qFormat/>
    <w:uiPriority w:val="99"/>
    <w:rPr>
      <w:sz w:val="20"/>
    </w:rPr>
  </w:style>
  <w:style w:type="paragraph" w:customStyle="1" w:styleId="187">
    <w:name w:val="Заголовок оглавления1"/>
    <w:unhideWhenUsed/>
    <w:qFormat/>
    <w:uiPriority w:val="39"/>
    <w:rPr>
      <w:rFonts w:ascii="Times New Roman" w:hAnsi="Times New Roman" w:eastAsia="SimSun" w:cs="Times New Roman"/>
      <w:lang w:val="ru-RU" w:eastAsia="ru-RU" w:bidi="ar-SA"/>
    </w:rPr>
  </w:style>
  <w:style w:type="paragraph" w:styleId="188">
    <w:name w:val="List Paragraph"/>
    <w:basedOn w:val="1"/>
    <w:qFormat/>
    <w:uiPriority w:val="34"/>
    <w:pPr>
      <w:ind w:left="720"/>
      <w:contextualSpacing/>
    </w:pPr>
  </w:style>
  <w:style w:type="character" w:customStyle="1" w:styleId="189">
    <w:name w:val="Основной текст с отступом Знак"/>
    <w:basedOn w:val="2"/>
    <w:link w:val="19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90">
    <w:name w:val="font11"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91">
    <w:name w:val="font41"/>
    <w:uiPriority w:val="0"/>
    <w:rPr>
      <w:rFonts w:hint="default" w:ascii="Times New Roman" w:hAnsi="Times New Roman" w:cs="Times New Roman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055C-79E6-440F-820A-968E7CB5A8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5</Pages>
  <Words>1784</Words>
  <Characters>10172</Characters>
  <Lines>84</Lines>
  <Paragraphs>23</Paragraphs>
  <TotalTime>2</TotalTime>
  <ScaleCrop>false</ScaleCrop>
  <LinksUpToDate>false</LinksUpToDate>
  <CharactersWithSpaces>11933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2025-10-30T05:56:00Z</dcterms:created>
  <dc:creator>RePack by Diakov</dc:creator>
  <cp:lastModifiedBy>User</cp:lastModifiedBy>
  <cp:lastPrinted>2025-11-26T13:52:39Z</cp:lastPrinted>
  <dcterms:modified xsi:type="dcterms:W3CDTF">2025-11-26T13:53:14Z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124A134295BC4EAC813789D40C949EE1_13</vt:lpwstr>
  </property>
</Properties>
</file>